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6F6F6"/>
        <w:spacing w:beforeAutospacing="0" w:before="0" w:afterAutospacing="0" w:after="150"/>
        <w:jc w:val="center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Перечень результатов услуг, доставка которых </w:t>
      </w:r>
      <w:r>
        <w:rPr>
          <w:rStyle w:val="Strong"/>
          <w:rFonts w:ascii="PT Sans" w:hAnsi="PT Sans"/>
          <w:color w:val="0C2436"/>
          <w:sz w:val="23"/>
          <w:szCs w:val="23"/>
        </w:rPr>
        <w:t>НЕ </w:t>
      </w:r>
      <w:r>
        <w:rPr>
          <w:rFonts w:ascii="PT Sans" w:hAnsi="PT Sans"/>
          <w:color w:val="0C2436"/>
          <w:sz w:val="23"/>
          <w:szCs w:val="23"/>
        </w:rPr>
        <w:t>осуществляется курьерской службой: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1. Паспорт гражданина Российской Федерации, удостоверяющих личность гражданина Российской Федерации на территории Российской Федерации.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2. Паспорт гражданина Российской Федерации, удостоверяющих личность гражданина Российской Федерации за пределами территории Российской Федерации РФ.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3. Регистрационный учёт граждан Российской Федерации по месту пребывания и по месту жительства в пределах Российской Федерации.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4. Сертификат (его дубликата) на региональный материнский (семейный) капитал.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5. Домовая книга.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6. Российские национальные водительские удостоверения и международные водительские удостоверения.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7. Государственный сертификат на материнский (семейный) капитал.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8. Удостоверение ветерана труда.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9. Социальные карты жителя Московской области.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10. Санаторно-курортные путевки.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11. Охотничьи билеты.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12. Удостоверения тракториста-машиниста (тракториста.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13. Государственные регистрационные знаки на трактора, самоходные дорожно-строительные и иные машины и прицепы к ним.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14. Разрешения на осуществление деятельности по перевозке пассажиров и багажа легковым такси на территории Московской области.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15. Лицензирование предпринимательской деятельности по управлению многоквартирными домами на территории Российской Федерации.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16. Свидетельства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Федерации» и подпрограммы «Обеспечение жильем молодых семей» государственной программы Московской области «Жилище» на 2017-2027 годы.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17. Постановление о предварительном согласовании предоставления земельных участков, государственная собственность на которые не разграничена.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18. Договоры на предоставление земельных участков, государственная собственность на которые не разграничена, в безвозмездное пользование, в аренду без проведения торгов, в собственность за плату без проведения торгов, в постоянное (бессрочное) пользование, в собственность бесплатно, в собственность и в аренду на торгах.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19. КУИ (комитет по управлению имуществом). Договоры аренды. Договоры купли-продажи.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20. Удостоверения многодетных.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21. Разрешение на добычу охотничьих ресурсов.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22. Закладная.</w:t>
      </w:r>
    </w:p>
    <w:p>
      <w:pPr>
        <w:pStyle w:val="NormalWeb"/>
        <w:shd w:val="clear" w:color="auto" w:fill="F6F6F6"/>
        <w:spacing w:beforeAutospacing="0" w:before="0" w:afterAutospacing="0" w:after="150"/>
        <w:jc w:val="both"/>
        <w:rPr>
          <w:rFonts w:ascii="PT Sans" w:hAnsi="PT Sans"/>
          <w:color w:val="0C2436"/>
          <w:sz w:val="23"/>
          <w:szCs w:val="23"/>
        </w:rPr>
      </w:pPr>
      <w:r>
        <w:rPr>
          <w:rFonts w:ascii="PT Sans" w:hAnsi="PT Sans"/>
          <w:color w:val="0C2436"/>
          <w:sz w:val="23"/>
          <w:szCs w:val="23"/>
        </w:rPr>
        <w:t>23. Договоры на предоставление земельных участков, государственная собственность на которые не разграничена, в безвозмездное пользование, в аренду без проведения торгов, в собственность за плату без проведения торгов, в постоянное (бессрочное) пользование, в собственность бесплатно, в собственность и в аренду на торгах.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T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860d6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e860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LibreOffice/5.4.0.3$MacOSX_X86_64 LibreOffice_project/7556cbc6811c9d992f4064ab9287069087d7f62c</Application>
  <Pages>2</Pages>
  <Words>307</Words>
  <Characters>2371</Characters>
  <CharactersWithSpaces>2655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2021-05-20T08:59:00Z</dcterms:created>
  <dc:creator>Стальцева Наталья Павловна</dc:creator>
  <dc:description/>
  <dc:language>ru-RU</dc:language>
  <cp:lastModifiedBy>Стальцева Наталья Павловна</cp:lastModifiedBy>
  <dcterms:modified xsi:type="dcterms:W3CDTF">2021-05-20T09:00:00Z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